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E6C9B" w14:textId="2EFC1679" w:rsidR="004E0703" w:rsidRP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692CBCF2" wp14:editId="745979A3">
            <wp:simplePos x="0" y="0"/>
            <wp:positionH relativeFrom="margin">
              <wp:posOffset>9022080</wp:posOffset>
            </wp:positionH>
            <wp:positionV relativeFrom="paragraph">
              <wp:posOffset>0</wp:posOffset>
            </wp:positionV>
            <wp:extent cx="701040" cy="70644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6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 xml:space="preserve">Linchfield </w:t>
      </w:r>
      <w:r w:rsidR="00730701">
        <w:rPr>
          <w:b/>
          <w:color w:val="00B050"/>
          <w:sz w:val="44"/>
          <w:szCs w:val="44"/>
        </w:rPr>
        <w:t>Academy</w:t>
      </w:r>
    </w:p>
    <w:p w14:paraId="63095DA2" w14:textId="37E18DCD" w:rsidR="006A59BD" w:rsidRDefault="006A59BD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A59BD">
        <w:rPr>
          <w:b/>
          <w:color w:val="00B050"/>
          <w:sz w:val="44"/>
          <w:szCs w:val="44"/>
        </w:rPr>
        <w:t xml:space="preserve">Learning Overview – Term </w:t>
      </w:r>
      <w:r w:rsidR="006263C8">
        <w:rPr>
          <w:b/>
          <w:color w:val="00B050"/>
          <w:sz w:val="44"/>
          <w:szCs w:val="4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51CB7F93" w14:textId="77777777" w:rsidTr="00E50E42">
        <w:trPr>
          <w:trHeight w:val="2238"/>
        </w:trPr>
        <w:tc>
          <w:tcPr>
            <w:tcW w:w="5129" w:type="dxa"/>
          </w:tcPr>
          <w:p w14:paraId="7959FC45" w14:textId="54D40D65" w:rsidR="006A59BD" w:rsidRDefault="006263C8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Art &amp; Design</w:t>
            </w:r>
            <w:r w:rsidR="00E35CE4">
              <w:rPr>
                <w:b/>
                <w:color w:val="00B050"/>
                <w:sz w:val="44"/>
                <w:szCs w:val="44"/>
              </w:rPr>
              <w:t xml:space="preserve"> – </w:t>
            </w:r>
          </w:p>
          <w:p w14:paraId="0C2FDCE7" w14:textId="17C0841D" w:rsidR="006A59BD" w:rsidRPr="004A304C" w:rsidRDefault="000F509D" w:rsidP="0013553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 </w:t>
            </w:r>
            <w:r w:rsidRPr="006767DE">
              <w:rPr>
                <w:rFonts w:cstheme="minorHAnsi"/>
                <w:sz w:val="20"/>
                <w:szCs w:val="20"/>
              </w:rPr>
              <w:t>will be learning about c</w:t>
            </w:r>
            <w:r w:rsidR="00D04FF9" w:rsidRPr="006767DE">
              <w:rPr>
                <w:rFonts w:cstheme="minorHAnsi"/>
                <w:sz w:val="20"/>
                <w:szCs w:val="20"/>
              </w:rPr>
              <w:t xml:space="preserve">ollaboration and </w:t>
            </w:r>
            <w:r w:rsidRPr="006767DE">
              <w:rPr>
                <w:rFonts w:cstheme="minorHAnsi"/>
                <w:sz w:val="20"/>
                <w:szCs w:val="20"/>
              </w:rPr>
              <w:t>c</w:t>
            </w:r>
            <w:r w:rsidR="00D04FF9" w:rsidRPr="006767DE">
              <w:rPr>
                <w:rFonts w:cstheme="minorHAnsi"/>
                <w:sz w:val="20"/>
                <w:szCs w:val="20"/>
              </w:rPr>
              <w:t>ommunity</w:t>
            </w:r>
            <w:r w:rsidRPr="006767DE">
              <w:rPr>
                <w:rFonts w:cstheme="minorHAnsi"/>
                <w:sz w:val="20"/>
                <w:szCs w:val="20"/>
              </w:rPr>
              <w:t>. This term we will</w:t>
            </w:r>
            <w:r w:rsidR="00842BCC" w:rsidRPr="006767DE">
              <w:rPr>
                <w:rFonts w:cstheme="minorHAnsi"/>
                <w:sz w:val="20"/>
                <w:szCs w:val="20"/>
              </w:rPr>
              <w:t xml:space="preserve"> </w:t>
            </w:r>
            <w:r w:rsidR="00525CE8" w:rsidRPr="006767DE">
              <w:rPr>
                <w:rFonts w:cstheme="minorHAnsi"/>
                <w:sz w:val="20"/>
                <w:szCs w:val="20"/>
              </w:rPr>
              <w:t>focus on the artists; Claes Oldenberg and Lucia Hierro.</w:t>
            </w:r>
            <w:r w:rsidR="006767DE">
              <w:rPr>
                <w:rFonts w:cstheme="minorHAnsi"/>
                <w:sz w:val="20"/>
                <w:szCs w:val="20"/>
              </w:rPr>
              <w:t xml:space="preserve"> </w:t>
            </w:r>
            <w:r w:rsidR="004A304C">
              <w:rPr>
                <w:rFonts w:cstheme="minorHAnsi"/>
                <w:sz w:val="20"/>
                <w:szCs w:val="20"/>
              </w:rPr>
              <w:t xml:space="preserve">We </w:t>
            </w:r>
            <w:r w:rsidR="004A304C" w:rsidRPr="00CE6ED2">
              <w:rPr>
                <w:rFonts w:cstheme="minorHAnsi"/>
                <w:sz w:val="20"/>
                <w:szCs w:val="20"/>
              </w:rPr>
              <w:t xml:space="preserve">will explore Modroc as a new material to make a sculptural feast which will contribute to a class meal. </w:t>
            </w:r>
          </w:p>
        </w:tc>
        <w:tc>
          <w:tcPr>
            <w:tcW w:w="5129" w:type="dxa"/>
          </w:tcPr>
          <w:p w14:paraId="292B99D5" w14:textId="77777777" w:rsidR="00167121" w:rsidRDefault="00167121" w:rsidP="00167121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Science – Animals including humans</w:t>
            </w:r>
          </w:p>
          <w:p w14:paraId="0E578617" w14:textId="08B94744" w:rsidR="006A59BD" w:rsidRPr="006A59BD" w:rsidRDefault="00167121" w:rsidP="00167121">
            <w:pPr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 xml:space="preserve">We will be learning </w:t>
            </w:r>
            <w:r>
              <w:rPr>
                <w:sz w:val="20"/>
                <w:szCs w:val="20"/>
              </w:rPr>
              <w:t xml:space="preserve">about the digestive system and how our body digests food. We will explore types of teeth in both humans and animals and their functions. We </w:t>
            </w:r>
            <w:r w:rsidRPr="000D0838">
              <w:rPr>
                <w:rFonts w:cstheme="minorHAnsi"/>
                <w:sz w:val="20"/>
                <w:szCs w:val="20"/>
              </w:rPr>
              <w:t xml:space="preserve">then </w:t>
            </w:r>
            <w:r w:rsidRPr="000D0838">
              <w:rPr>
                <w:rFonts w:eastAsia="Times New Roman" w:cstheme="minorHAnsi"/>
                <w:sz w:val="20"/>
                <w:szCs w:val="20"/>
                <w:lang w:eastAsia="en-GB"/>
              </w:rPr>
              <w:t>interpret a variety of food chains, identifying producers, predators and prey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130" w:type="dxa"/>
          </w:tcPr>
          <w:p w14:paraId="4EBFC67E" w14:textId="5B193716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PE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2B0380">
              <w:rPr>
                <w:b/>
                <w:color w:val="00B050"/>
                <w:sz w:val="44"/>
                <w:szCs w:val="44"/>
              </w:rPr>
              <w:t>Indoor and Outdoor</w:t>
            </w:r>
          </w:p>
          <w:p w14:paraId="2E2EBB12" w14:textId="47AA3831" w:rsidR="003A313A" w:rsidRPr="003A313A" w:rsidRDefault="00B54E11" w:rsidP="003A3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indoor PE</w:t>
            </w:r>
            <w:r w:rsidR="000D08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11FE3">
              <w:rPr>
                <w:sz w:val="20"/>
                <w:szCs w:val="20"/>
              </w:rPr>
              <w:t xml:space="preserve">we will be </w:t>
            </w:r>
            <w:r w:rsidR="006263C8">
              <w:rPr>
                <w:sz w:val="20"/>
                <w:szCs w:val="20"/>
              </w:rPr>
              <w:t xml:space="preserve">concentrating on how to keep our bodies and </w:t>
            </w:r>
            <w:r w:rsidR="003A313A">
              <w:rPr>
                <w:sz w:val="20"/>
                <w:szCs w:val="20"/>
              </w:rPr>
              <w:t>minds healthy through the learning of fitness and yoga. We will also be working on our Summer Dance! In outdoor</w:t>
            </w:r>
            <w:r w:rsidR="00737EC9">
              <w:rPr>
                <w:sz w:val="20"/>
                <w:szCs w:val="20"/>
              </w:rPr>
              <w:t xml:space="preserve"> PE, </w:t>
            </w:r>
            <w:r w:rsidR="00BB78CF">
              <w:rPr>
                <w:sz w:val="20"/>
                <w:szCs w:val="20"/>
              </w:rPr>
              <w:t>we will be learning striking and fielding skills by playing rounders and cricket.</w:t>
            </w:r>
          </w:p>
        </w:tc>
      </w:tr>
      <w:tr w:rsidR="006A59BD" w14:paraId="63B54CE3" w14:textId="77777777" w:rsidTr="00E50E42">
        <w:trPr>
          <w:trHeight w:val="2238"/>
        </w:trPr>
        <w:tc>
          <w:tcPr>
            <w:tcW w:w="5129" w:type="dxa"/>
          </w:tcPr>
          <w:p w14:paraId="06EA02AC" w14:textId="1F46B5D9" w:rsidR="00916144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Reading</w:t>
            </w:r>
            <w:r w:rsidR="00916144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5A7532E9" w14:textId="68E93B0D" w:rsidR="006A59BD" w:rsidRDefault="006A59BD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 </w:t>
            </w:r>
            <w:r w:rsidR="00302DBF">
              <w:rPr>
                <w:sz w:val="20"/>
                <w:szCs w:val="20"/>
              </w:rPr>
              <w:t xml:space="preserve">Our Guided Reading book </w:t>
            </w:r>
            <w:r w:rsidR="00445D0A">
              <w:rPr>
                <w:sz w:val="20"/>
                <w:szCs w:val="20"/>
              </w:rPr>
              <w:t>for the start of the term is ‘Arthur and the Golden Rope</w:t>
            </w:r>
            <w:r w:rsidR="00A1308A">
              <w:rPr>
                <w:sz w:val="20"/>
                <w:szCs w:val="20"/>
              </w:rPr>
              <w:t>’</w:t>
            </w:r>
            <w:r w:rsidR="005B0E84">
              <w:rPr>
                <w:sz w:val="20"/>
                <w:szCs w:val="20"/>
              </w:rPr>
              <w:t xml:space="preserve"> - a mythological tale! We will then focus our attention onto exploring explanation texts and playscripts</w:t>
            </w:r>
            <w:r w:rsidR="00CC7533">
              <w:rPr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5D2EF7D9" w14:textId="77777777" w:rsidR="006A59BD" w:rsidRPr="00105EE3" w:rsidRDefault="006A59BD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105EE3">
              <w:rPr>
                <w:b/>
                <w:i/>
                <w:sz w:val="48"/>
                <w:szCs w:val="48"/>
              </w:rPr>
              <w:t xml:space="preserve">Year </w:t>
            </w:r>
            <w:r w:rsidR="00AB717A">
              <w:rPr>
                <w:b/>
                <w:i/>
                <w:sz w:val="48"/>
                <w:szCs w:val="48"/>
              </w:rPr>
              <w:t>4</w:t>
            </w:r>
          </w:p>
          <w:p w14:paraId="6DE72C8D" w14:textId="0141217B" w:rsidR="006A59BD" w:rsidRPr="0093541C" w:rsidRDefault="00AB717A" w:rsidP="006A59BD">
            <w:pPr>
              <w:spacing w:before="120" w:after="120"/>
              <w:jc w:val="center"/>
              <w:rPr>
                <w:b/>
                <w:i/>
                <w:sz w:val="32"/>
                <w:szCs w:val="32"/>
              </w:rPr>
            </w:pPr>
            <w:r w:rsidRPr="0093541C">
              <w:rPr>
                <w:b/>
                <w:i/>
                <w:sz w:val="32"/>
                <w:szCs w:val="32"/>
              </w:rPr>
              <w:t>Hawthorn</w:t>
            </w:r>
            <w:r w:rsidR="006A59BD" w:rsidRPr="0093541C">
              <w:rPr>
                <w:b/>
                <w:i/>
                <w:sz w:val="32"/>
                <w:szCs w:val="32"/>
              </w:rPr>
              <w:t xml:space="preserve"> – </w:t>
            </w:r>
            <w:r w:rsidR="0061660F" w:rsidRPr="0093541C">
              <w:rPr>
                <w:b/>
                <w:i/>
                <w:sz w:val="32"/>
                <w:szCs w:val="32"/>
              </w:rPr>
              <w:t>Mrs Plester and Mrs Harrison</w:t>
            </w:r>
          </w:p>
          <w:p w14:paraId="58A50C91" w14:textId="7A936144" w:rsidR="006A59BD" w:rsidRDefault="00AB717A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93541C">
              <w:rPr>
                <w:b/>
                <w:i/>
                <w:sz w:val="32"/>
                <w:szCs w:val="32"/>
              </w:rPr>
              <w:t>Juniper</w:t>
            </w:r>
            <w:r w:rsidR="006A59BD" w:rsidRPr="0093541C">
              <w:rPr>
                <w:b/>
                <w:i/>
                <w:sz w:val="32"/>
                <w:szCs w:val="32"/>
              </w:rPr>
              <w:t xml:space="preserve"> </w:t>
            </w:r>
            <w:r w:rsidRPr="0093541C">
              <w:rPr>
                <w:b/>
                <w:i/>
                <w:sz w:val="32"/>
                <w:szCs w:val="32"/>
              </w:rPr>
              <w:t xml:space="preserve">– </w:t>
            </w:r>
            <w:r w:rsidR="0061660F" w:rsidRPr="0093541C">
              <w:rPr>
                <w:b/>
                <w:i/>
                <w:sz w:val="32"/>
                <w:szCs w:val="32"/>
              </w:rPr>
              <w:t>Miss Stanforth</w:t>
            </w:r>
          </w:p>
        </w:tc>
        <w:tc>
          <w:tcPr>
            <w:tcW w:w="5130" w:type="dxa"/>
          </w:tcPr>
          <w:p w14:paraId="4EDFED84" w14:textId="4C22485E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Writing 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</w:p>
          <w:p w14:paraId="7FA7CECB" w14:textId="7546158C" w:rsidR="00916144" w:rsidRDefault="00632C5E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Linked to our Guided Reading text, we will explore writing our own myths and developing our writing of dialogue. </w:t>
            </w:r>
            <w:r w:rsidR="00D7551D">
              <w:rPr>
                <w:sz w:val="20"/>
                <w:szCs w:val="20"/>
              </w:rPr>
              <w:t xml:space="preserve">Later </w:t>
            </w:r>
            <w:proofErr w:type="gramStart"/>
            <w:r w:rsidR="00D7551D">
              <w:rPr>
                <w:sz w:val="20"/>
                <w:szCs w:val="20"/>
              </w:rPr>
              <w:t>on</w:t>
            </w:r>
            <w:proofErr w:type="gramEnd"/>
            <w:r w:rsidR="00D7551D">
              <w:rPr>
                <w:sz w:val="20"/>
                <w:szCs w:val="20"/>
              </w:rPr>
              <w:t xml:space="preserve"> in the term, we will use our scientific knowledge to support writing our own explanation text.</w:t>
            </w:r>
          </w:p>
        </w:tc>
      </w:tr>
      <w:tr w:rsidR="006A59BD" w14:paraId="023AC60D" w14:textId="77777777" w:rsidTr="00E50E42">
        <w:trPr>
          <w:trHeight w:val="2238"/>
        </w:trPr>
        <w:tc>
          <w:tcPr>
            <w:tcW w:w="5129" w:type="dxa"/>
          </w:tcPr>
          <w:p w14:paraId="3D538625" w14:textId="5341A71F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Music </w:t>
            </w:r>
            <w:r w:rsidR="00916144">
              <w:rPr>
                <w:b/>
                <w:color w:val="00B050"/>
                <w:sz w:val="44"/>
                <w:szCs w:val="44"/>
              </w:rPr>
              <w:t>–</w:t>
            </w:r>
            <w:r w:rsidR="00E50E42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DF7DA9">
              <w:rPr>
                <w:b/>
                <w:color w:val="00B050"/>
                <w:sz w:val="44"/>
                <w:szCs w:val="44"/>
              </w:rPr>
              <w:t>Composition</w:t>
            </w:r>
          </w:p>
          <w:p w14:paraId="484DFF93" w14:textId="20D712AE" w:rsidR="00AB717A" w:rsidRPr="00AB717A" w:rsidRDefault="000756BA" w:rsidP="00C01FA8">
            <w:pPr>
              <w:widowControl w:val="0"/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 learning </w:t>
            </w:r>
            <w:r w:rsidR="00C01FA8">
              <w:rPr>
                <w:sz w:val="20"/>
                <w:szCs w:val="20"/>
              </w:rPr>
              <w:t xml:space="preserve">that a composition is created and kept in some way so it can be played or performed again and there are different ways of recording compositions (letter names, symbols, audio etc). </w:t>
            </w:r>
          </w:p>
        </w:tc>
        <w:tc>
          <w:tcPr>
            <w:tcW w:w="5129" w:type="dxa"/>
          </w:tcPr>
          <w:p w14:paraId="735284D7" w14:textId="6C575FA0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Maths </w:t>
            </w:r>
          </w:p>
          <w:p w14:paraId="3FBF0F29" w14:textId="30388601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 w:rsidR="00C01B3E">
              <w:rPr>
                <w:sz w:val="20"/>
                <w:szCs w:val="20"/>
              </w:rPr>
              <w:t xml:space="preserve"> be looking at</w:t>
            </w:r>
            <w:r w:rsidR="00A825F3">
              <w:rPr>
                <w:sz w:val="20"/>
                <w:szCs w:val="20"/>
              </w:rPr>
              <w:t xml:space="preserve"> </w:t>
            </w:r>
            <w:r w:rsidR="00E35CE4">
              <w:rPr>
                <w:sz w:val="20"/>
                <w:szCs w:val="20"/>
              </w:rPr>
              <w:t>decimals</w:t>
            </w:r>
            <w:r w:rsidR="00B32967">
              <w:rPr>
                <w:sz w:val="20"/>
                <w:szCs w:val="20"/>
              </w:rPr>
              <w:t>, money and time</w:t>
            </w:r>
            <w:r w:rsidR="00A825F3">
              <w:rPr>
                <w:sz w:val="20"/>
                <w:szCs w:val="20"/>
              </w:rPr>
              <w:t xml:space="preserve"> </w:t>
            </w:r>
            <w:r w:rsidR="00E35CE4">
              <w:rPr>
                <w:sz w:val="20"/>
                <w:szCs w:val="20"/>
              </w:rPr>
              <w:t>and applying new knowledge to answer problem and reasoning questions.</w:t>
            </w:r>
            <w:r w:rsidR="00A825F3">
              <w:rPr>
                <w:sz w:val="20"/>
                <w:szCs w:val="20"/>
              </w:rPr>
              <w:t xml:space="preserve"> </w:t>
            </w:r>
            <w:r w:rsidR="00C01B3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130" w:type="dxa"/>
          </w:tcPr>
          <w:p w14:paraId="17D47565" w14:textId="77777777" w:rsidR="00162CC9" w:rsidRDefault="00162CC9" w:rsidP="00162CC9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PSHE – Managing Change</w:t>
            </w:r>
          </w:p>
          <w:p w14:paraId="0F9C822E" w14:textId="4CA86182" w:rsidR="006A59BD" w:rsidRDefault="00162CC9" w:rsidP="00162CC9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sz w:val="20"/>
                <w:szCs w:val="20"/>
              </w:rPr>
              <w:t xml:space="preserve">This term we will be learning about change and </w:t>
            </w:r>
            <w:r w:rsidRPr="000D0838">
              <w:rPr>
                <w:rFonts w:cstheme="minorHAnsi"/>
                <w:sz w:val="20"/>
                <w:szCs w:val="20"/>
              </w:rPr>
              <w:t>identifying changes that they and other children may experience in their lives</w:t>
            </w:r>
            <w:r w:rsidRPr="00E464ED">
              <w:rPr>
                <w:rFonts w:ascii="ArialMT" w:hAnsi="ArialMT" w:cs="ArialMT"/>
                <w:b/>
                <w:color w:val="00B050"/>
                <w:sz w:val="14"/>
                <w:szCs w:val="14"/>
              </w:rPr>
              <w:t>.</w:t>
            </w:r>
          </w:p>
        </w:tc>
      </w:tr>
      <w:tr w:rsidR="006A59BD" w14:paraId="478B1D02" w14:textId="77777777" w:rsidTr="00E50E42">
        <w:trPr>
          <w:trHeight w:val="2238"/>
        </w:trPr>
        <w:tc>
          <w:tcPr>
            <w:tcW w:w="5129" w:type="dxa"/>
          </w:tcPr>
          <w:p w14:paraId="2104BAA1" w14:textId="217BA21B" w:rsidR="0035100D" w:rsidRDefault="006A59BD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>Spanish</w:t>
            </w:r>
            <w:r w:rsidR="00DB2C84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135535">
              <w:rPr>
                <w:b/>
                <w:color w:val="00B050"/>
                <w:sz w:val="44"/>
                <w:szCs w:val="44"/>
              </w:rPr>
              <w:t>–</w:t>
            </w:r>
            <w:r w:rsidR="00DB2C84">
              <w:rPr>
                <w:b/>
                <w:color w:val="00B050"/>
                <w:sz w:val="44"/>
                <w:szCs w:val="44"/>
              </w:rPr>
              <w:t xml:space="preserve"> </w:t>
            </w:r>
            <w:r w:rsidR="006E6F3D">
              <w:rPr>
                <w:b/>
                <w:color w:val="00B050"/>
                <w:sz w:val="44"/>
                <w:szCs w:val="44"/>
              </w:rPr>
              <w:t>I know how</w:t>
            </w:r>
          </w:p>
          <w:p w14:paraId="32AED27C" w14:textId="1EB7466B" w:rsidR="006E6F3D" w:rsidRDefault="006E6F3D" w:rsidP="006E6F3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further develop our </w:t>
            </w:r>
            <w:r w:rsidR="00017EA6">
              <w:rPr>
                <w:sz w:val="20"/>
                <w:szCs w:val="20"/>
              </w:rPr>
              <w:t>oracy in the language of Spanish and learn different verbs. We will then learn how to construct these into a spoken sentence and extend our</w:t>
            </w:r>
            <w:r w:rsidR="00556A44">
              <w:rPr>
                <w:sz w:val="20"/>
                <w:szCs w:val="20"/>
              </w:rPr>
              <w:t xml:space="preserve"> vocabulary to include conjunctions.</w:t>
            </w:r>
          </w:p>
          <w:p w14:paraId="23CCA210" w14:textId="5D92BF24" w:rsidR="006A59BD" w:rsidRDefault="006A59BD" w:rsidP="006E6F3D">
            <w:pPr>
              <w:spacing w:before="120" w:after="120"/>
              <w:rPr>
                <w:b/>
                <w:color w:val="00B050"/>
                <w:sz w:val="20"/>
                <w:szCs w:val="20"/>
              </w:rPr>
            </w:pPr>
          </w:p>
          <w:p w14:paraId="7C720246" w14:textId="5505AFE6" w:rsidR="00916144" w:rsidRDefault="00916144" w:rsidP="006A59BD">
            <w:pPr>
              <w:jc w:val="center"/>
              <w:rPr>
                <w:b/>
                <w:color w:val="00B050"/>
                <w:sz w:val="44"/>
                <w:szCs w:val="44"/>
              </w:rPr>
            </w:pPr>
          </w:p>
        </w:tc>
        <w:tc>
          <w:tcPr>
            <w:tcW w:w="5129" w:type="dxa"/>
          </w:tcPr>
          <w:p w14:paraId="3CCE2CB1" w14:textId="2D9353F6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40"/>
                <w:szCs w:val="40"/>
              </w:rPr>
            </w:pPr>
            <w:r w:rsidRPr="00E50E42">
              <w:rPr>
                <w:b/>
                <w:color w:val="00B050"/>
                <w:sz w:val="40"/>
                <w:szCs w:val="40"/>
              </w:rPr>
              <w:lastRenderedPageBreak/>
              <w:t>Computing</w:t>
            </w:r>
            <w:r w:rsidR="00E50E42" w:rsidRPr="00E50E42">
              <w:rPr>
                <w:b/>
                <w:color w:val="00B050"/>
                <w:sz w:val="40"/>
                <w:szCs w:val="40"/>
              </w:rPr>
              <w:t xml:space="preserve"> –</w:t>
            </w:r>
            <w:r w:rsidR="00E35CE4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964AA3">
              <w:rPr>
                <w:b/>
                <w:color w:val="00B050"/>
                <w:sz w:val="40"/>
                <w:szCs w:val="40"/>
              </w:rPr>
              <w:t>Logo</w:t>
            </w:r>
            <w:r w:rsidR="00402D08">
              <w:rPr>
                <w:b/>
                <w:color w:val="00B050"/>
                <w:sz w:val="40"/>
                <w:szCs w:val="40"/>
              </w:rPr>
              <w:t xml:space="preserve"> Turtle</w:t>
            </w:r>
          </w:p>
          <w:p w14:paraId="4C95667B" w14:textId="3319EE98" w:rsidR="00E50E42" w:rsidRPr="00E50E42" w:rsidRDefault="00402D08" w:rsidP="006A59BD">
            <w:pPr>
              <w:jc w:val="center"/>
              <w:rPr>
                <w:b/>
                <w:color w:val="00B050"/>
                <w:sz w:val="40"/>
                <w:szCs w:val="40"/>
              </w:rPr>
            </w:pPr>
            <w:r>
              <w:rPr>
                <w:sz w:val="20"/>
                <w:szCs w:val="20"/>
              </w:rPr>
              <w:t xml:space="preserve">Continuing to develop our programming skills, </w:t>
            </w:r>
            <w:r w:rsidR="00250D74">
              <w:rPr>
                <w:sz w:val="20"/>
                <w:szCs w:val="20"/>
              </w:rPr>
              <w:t>we will look at using the software Logo Turtle. We will write our own code to create shapes and patterns, and develop our understanding of algorithms.</w:t>
            </w:r>
            <w:r w:rsidR="00A825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1A8950E8" w14:textId="1C1A5559" w:rsidR="006A59BD" w:rsidRDefault="00E35CE4" w:rsidP="00916144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color w:val="00B050"/>
                <w:sz w:val="44"/>
                <w:szCs w:val="44"/>
              </w:rPr>
              <w:t xml:space="preserve">History – </w:t>
            </w:r>
            <w:r w:rsidR="00C01FA8">
              <w:rPr>
                <w:b/>
                <w:color w:val="00B050"/>
                <w:sz w:val="44"/>
                <w:szCs w:val="44"/>
              </w:rPr>
              <w:t>Scandinavia</w:t>
            </w:r>
            <w:r>
              <w:rPr>
                <w:b/>
                <w:color w:val="00B050"/>
                <w:sz w:val="44"/>
                <w:szCs w:val="44"/>
              </w:rPr>
              <w:t>.</w:t>
            </w:r>
          </w:p>
          <w:p w14:paraId="39803955" w14:textId="43A6BA40" w:rsidR="006A59BD" w:rsidRDefault="00562788" w:rsidP="001355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children will be learning </w:t>
            </w:r>
            <w:r w:rsidR="00C01FA8">
              <w:rPr>
                <w:sz w:val="20"/>
                <w:szCs w:val="20"/>
              </w:rPr>
              <w:t xml:space="preserve">which 3 countries make up Scandinavia and identify them and their capital cities on </w:t>
            </w:r>
            <w:r w:rsidR="00DF7DA9">
              <w:rPr>
                <w:sz w:val="20"/>
                <w:szCs w:val="20"/>
              </w:rPr>
              <w:t xml:space="preserve">a </w:t>
            </w:r>
            <w:r w:rsidR="00C01FA8">
              <w:rPr>
                <w:sz w:val="20"/>
                <w:szCs w:val="20"/>
              </w:rPr>
              <w:t xml:space="preserve">map. They </w:t>
            </w:r>
            <w:r w:rsidR="00DF7DA9">
              <w:rPr>
                <w:sz w:val="20"/>
                <w:szCs w:val="20"/>
              </w:rPr>
              <w:t>will study</w:t>
            </w:r>
            <w:r w:rsidR="00C01FA8">
              <w:rPr>
                <w:sz w:val="20"/>
                <w:szCs w:val="20"/>
              </w:rPr>
              <w:t xml:space="preserve"> and compare the human and physical features of Scandinavia with a local area in the UK and </w:t>
            </w:r>
            <w:r w:rsidR="00DF7DA9">
              <w:rPr>
                <w:sz w:val="20"/>
                <w:szCs w:val="20"/>
              </w:rPr>
              <w:t xml:space="preserve">learn about how seasons affect sunlight in parts of Scandinavia. </w:t>
            </w:r>
            <w:r w:rsidR="00C01FA8">
              <w:rPr>
                <w:sz w:val="20"/>
                <w:szCs w:val="20"/>
              </w:rPr>
              <w:t xml:space="preserve"> </w:t>
            </w:r>
          </w:p>
          <w:p w14:paraId="6DE36448" w14:textId="2C03A9C9" w:rsidR="00C01FA8" w:rsidRPr="006A59BD" w:rsidRDefault="00C01FA8" w:rsidP="00DF7DA9">
            <w:pPr>
              <w:widowControl w:val="0"/>
              <w:rPr>
                <w:sz w:val="44"/>
                <w:szCs w:val="44"/>
              </w:rPr>
            </w:pPr>
          </w:p>
        </w:tc>
      </w:tr>
    </w:tbl>
    <w:p w14:paraId="3EE4C37F" w14:textId="77777777" w:rsidR="006A59BD" w:rsidRPr="00916144" w:rsidRDefault="006A59BD" w:rsidP="006A59BD">
      <w:pPr>
        <w:spacing w:after="0"/>
        <w:jc w:val="center"/>
        <w:rPr>
          <w:b/>
          <w:color w:val="00B050"/>
          <w:sz w:val="16"/>
          <w:szCs w:val="16"/>
        </w:rPr>
      </w:pPr>
    </w:p>
    <w:sectPr w:rsidR="006A59BD" w:rsidRPr="00916144" w:rsidSect="006A59BD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17EA6"/>
    <w:rsid w:val="000756BA"/>
    <w:rsid w:val="000D0838"/>
    <w:rsid w:val="000E7C88"/>
    <w:rsid w:val="000F509D"/>
    <w:rsid w:val="00105EE3"/>
    <w:rsid w:val="00110BA1"/>
    <w:rsid w:val="00135535"/>
    <w:rsid w:val="00162CC9"/>
    <w:rsid w:val="00165BAB"/>
    <w:rsid w:val="00167121"/>
    <w:rsid w:val="00250D74"/>
    <w:rsid w:val="00266637"/>
    <w:rsid w:val="002B0380"/>
    <w:rsid w:val="002C32C7"/>
    <w:rsid w:val="002C7E89"/>
    <w:rsid w:val="002D4566"/>
    <w:rsid w:val="00302DBF"/>
    <w:rsid w:val="0035100D"/>
    <w:rsid w:val="00397811"/>
    <w:rsid w:val="003A313A"/>
    <w:rsid w:val="00402D08"/>
    <w:rsid w:val="0042131E"/>
    <w:rsid w:val="004328C4"/>
    <w:rsid w:val="00445D0A"/>
    <w:rsid w:val="004A2EA9"/>
    <w:rsid w:val="004A304C"/>
    <w:rsid w:val="004E0703"/>
    <w:rsid w:val="00505203"/>
    <w:rsid w:val="00525CE8"/>
    <w:rsid w:val="00544272"/>
    <w:rsid w:val="00556A44"/>
    <w:rsid w:val="00562788"/>
    <w:rsid w:val="005B0E84"/>
    <w:rsid w:val="0061660F"/>
    <w:rsid w:val="006263C8"/>
    <w:rsid w:val="00632C5E"/>
    <w:rsid w:val="006767DE"/>
    <w:rsid w:val="006A59BD"/>
    <w:rsid w:val="006E6F3D"/>
    <w:rsid w:val="00711FE3"/>
    <w:rsid w:val="00730701"/>
    <w:rsid w:val="00737EC9"/>
    <w:rsid w:val="00746D36"/>
    <w:rsid w:val="0076636D"/>
    <w:rsid w:val="00766D06"/>
    <w:rsid w:val="007835C0"/>
    <w:rsid w:val="00793CB7"/>
    <w:rsid w:val="007C10F5"/>
    <w:rsid w:val="007D1FD3"/>
    <w:rsid w:val="00833043"/>
    <w:rsid w:val="00842BCC"/>
    <w:rsid w:val="00844BAC"/>
    <w:rsid w:val="008743B2"/>
    <w:rsid w:val="00887C31"/>
    <w:rsid w:val="008E0B95"/>
    <w:rsid w:val="009005F2"/>
    <w:rsid w:val="00916144"/>
    <w:rsid w:val="0093541C"/>
    <w:rsid w:val="00964AA3"/>
    <w:rsid w:val="009747A9"/>
    <w:rsid w:val="00A1308A"/>
    <w:rsid w:val="00A514A1"/>
    <w:rsid w:val="00A77FA2"/>
    <w:rsid w:val="00A825F3"/>
    <w:rsid w:val="00A87F16"/>
    <w:rsid w:val="00AB717A"/>
    <w:rsid w:val="00B32967"/>
    <w:rsid w:val="00B54E11"/>
    <w:rsid w:val="00BB78CF"/>
    <w:rsid w:val="00C01B3E"/>
    <w:rsid w:val="00C01FA8"/>
    <w:rsid w:val="00C367CB"/>
    <w:rsid w:val="00C47AA0"/>
    <w:rsid w:val="00C53E1E"/>
    <w:rsid w:val="00C66FEB"/>
    <w:rsid w:val="00CC7533"/>
    <w:rsid w:val="00D04FF9"/>
    <w:rsid w:val="00D11191"/>
    <w:rsid w:val="00D7551D"/>
    <w:rsid w:val="00D97C83"/>
    <w:rsid w:val="00DB2C84"/>
    <w:rsid w:val="00DF7DA9"/>
    <w:rsid w:val="00E35CE4"/>
    <w:rsid w:val="00E35E36"/>
    <w:rsid w:val="00E42CB6"/>
    <w:rsid w:val="00E50E42"/>
    <w:rsid w:val="00F069ED"/>
    <w:rsid w:val="00F8781B"/>
    <w:rsid w:val="00F87EC2"/>
    <w:rsid w:val="00F9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22C1"/>
  <w15:chartTrackingRefBased/>
  <w15:docId w15:val="{9EACCF46-766D-48AE-A969-8AA9346A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Props1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62074-D26D-4420-9397-0559AFCCD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CFBCC-6E32-446E-9DCF-43177E9EABB8}">
  <ds:schemaRefs>
    <ds:schemaRef ds:uri="32a73472-26bd-48de-b295-83ece77a8e4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b26c7295-ff56-41f5-9258-35713e2640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Sarah Plester</cp:lastModifiedBy>
  <cp:revision>66</cp:revision>
  <dcterms:created xsi:type="dcterms:W3CDTF">2023-04-19T11:12:00Z</dcterms:created>
  <dcterms:modified xsi:type="dcterms:W3CDTF">2025-04-21T19:19:00Z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