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70DF" w14:textId="77777777" w:rsidR="004E0703" w:rsidRPr="006A59BD" w:rsidRDefault="00916144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54391">
        <w:rPr>
          <w:rFonts w:ascii="Berlin Sans FB" w:hAnsi="Berlin Sans FB"/>
          <w:noProof/>
          <w:color w:val="7030A0"/>
          <w:sz w:val="24"/>
          <w:szCs w:val="14"/>
          <w:lang w:eastAsia="en-GB"/>
        </w:rPr>
        <w:drawing>
          <wp:anchor distT="0" distB="0" distL="114300" distR="114300" simplePos="0" relativeHeight="251658240" behindDoc="0" locked="0" layoutInCell="1" allowOverlap="1" wp14:anchorId="3A7F3DA8" wp14:editId="3E6D22AF">
            <wp:simplePos x="0" y="0"/>
            <wp:positionH relativeFrom="margin">
              <wp:posOffset>9022080</wp:posOffset>
            </wp:positionH>
            <wp:positionV relativeFrom="paragraph">
              <wp:posOffset>0</wp:posOffset>
            </wp:positionV>
            <wp:extent cx="701040" cy="70644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BD" w:rsidRPr="006A59BD">
        <w:rPr>
          <w:b/>
          <w:color w:val="00B050"/>
          <w:sz w:val="44"/>
          <w:szCs w:val="44"/>
        </w:rPr>
        <w:t>Linchfield Primary School</w:t>
      </w:r>
    </w:p>
    <w:p w14:paraId="6B20FC57" w14:textId="77777777" w:rsidR="006A59BD" w:rsidRDefault="006A59BD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A59BD">
        <w:rPr>
          <w:b/>
          <w:color w:val="00B050"/>
          <w:sz w:val="44"/>
          <w:szCs w:val="44"/>
        </w:rPr>
        <w:t>Learning Overview – Term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A59BD" w14:paraId="6C4D468F" w14:textId="77777777" w:rsidTr="00E50E42">
        <w:trPr>
          <w:trHeight w:val="2238"/>
        </w:trPr>
        <w:tc>
          <w:tcPr>
            <w:tcW w:w="5129" w:type="dxa"/>
          </w:tcPr>
          <w:p w14:paraId="53E61481" w14:textId="77777777" w:rsidR="00D50066" w:rsidRDefault="00580F44" w:rsidP="00D50066">
            <w:pPr>
              <w:spacing w:before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Art </w:t>
            </w:r>
            <w:r w:rsidR="00C15961">
              <w:rPr>
                <w:b/>
                <w:color w:val="00B050"/>
                <w:sz w:val="44"/>
                <w:szCs w:val="44"/>
              </w:rPr>
              <w:t>–</w:t>
            </w:r>
            <w:r>
              <w:rPr>
                <w:b/>
                <w:color w:val="00B050"/>
                <w:sz w:val="44"/>
                <w:szCs w:val="44"/>
              </w:rPr>
              <w:t xml:space="preserve"> </w:t>
            </w:r>
            <w:r w:rsidR="00C15961">
              <w:rPr>
                <w:b/>
                <w:color w:val="00B050"/>
                <w:sz w:val="44"/>
                <w:szCs w:val="44"/>
              </w:rPr>
              <w:t xml:space="preserve">Working in </w:t>
            </w:r>
          </w:p>
          <w:p w14:paraId="6B7D93EF" w14:textId="079E0302" w:rsidR="006A59BD" w:rsidRDefault="00C15961" w:rsidP="00D50066">
            <w:pPr>
              <w:spacing w:before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3</w:t>
            </w:r>
            <w:r w:rsidR="00D50066">
              <w:rPr>
                <w:b/>
                <w:color w:val="00B050"/>
                <w:sz w:val="44"/>
                <w:szCs w:val="44"/>
              </w:rPr>
              <w:t>-D</w:t>
            </w:r>
            <w:r>
              <w:rPr>
                <w:b/>
                <w:color w:val="00B050"/>
                <w:sz w:val="44"/>
                <w:szCs w:val="44"/>
              </w:rPr>
              <w:t>imensions</w:t>
            </w:r>
          </w:p>
          <w:p w14:paraId="4BA11B41" w14:textId="167376AF" w:rsidR="006A59BD" w:rsidRPr="00CF60C6" w:rsidRDefault="00AB7722" w:rsidP="00CF60C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A59BD">
              <w:rPr>
                <w:sz w:val="20"/>
                <w:szCs w:val="20"/>
              </w:rPr>
              <w:t>We will</w:t>
            </w:r>
            <w:r>
              <w:rPr>
                <w:sz w:val="20"/>
                <w:szCs w:val="20"/>
              </w:rPr>
              <w:t xml:space="preserve"> be </w:t>
            </w:r>
            <w:r w:rsidR="007455A3">
              <w:rPr>
                <w:sz w:val="20"/>
                <w:szCs w:val="20"/>
              </w:rPr>
              <w:t xml:space="preserve">using </w:t>
            </w:r>
            <w:r w:rsidR="00290005">
              <w:rPr>
                <w:sz w:val="20"/>
                <w:szCs w:val="20"/>
              </w:rPr>
              <w:t xml:space="preserve">stories to inspire us </w:t>
            </w:r>
            <w:r w:rsidR="00760A79">
              <w:rPr>
                <w:sz w:val="20"/>
                <w:szCs w:val="20"/>
              </w:rPr>
              <w:t>to create characters in 3</w:t>
            </w:r>
            <w:r w:rsidR="00D50066">
              <w:rPr>
                <w:sz w:val="20"/>
                <w:szCs w:val="20"/>
              </w:rPr>
              <w:t>D</w:t>
            </w:r>
            <w:r w:rsidR="00760A79">
              <w:rPr>
                <w:sz w:val="20"/>
                <w:szCs w:val="20"/>
              </w:rPr>
              <w:t>. We will be focusing on drawing our characte</w:t>
            </w:r>
            <w:r w:rsidR="00045971">
              <w:rPr>
                <w:sz w:val="20"/>
                <w:szCs w:val="20"/>
              </w:rPr>
              <w:t>rs</w:t>
            </w:r>
            <w:r w:rsidR="009C4328">
              <w:rPr>
                <w:sz w:val="20"/>
                <w:szCs w:val="20"/>
              </w:rPr>
              <w:t xml:space="preserve">, focusing on exaggeration </w:t>
            </w:r>
            <w:r w:rsidR="00760A79">
              <w:rPr>
                <w:sz w:val="20"/>
                <w:szCs w:val="20"/>
              </w:rPr>
              <w:t>before making the</w:t>
            </w:r>
            <w:r w:rsidR="00CF60C6">
              <w:rPr>
                <w:sz w:val="20"/>
                <w:szCs w:val="20"/>
              </w:rPr>
              <w:t>ir designs</w:t>
            </w:r>
            <w:r w:rsidR="00760A79">
              <w:rPr>
                <w:sz w:val="20"/>
                <w:szCs w:val="20"/>
              </w:rPr>
              <w:t xml:space="preserve"> out of </w:t>
            </w:r>
            <w:r w:rsidR="00045971">
              <w:rPr>
                <w:sz w:val="20"/>
                <w:szCs w:val="20"/>
              </w:rPr>
              <w:t>clay</w:t>
            </w:r>
            <w:r w:rsidR="00CF60C6">
              <w:rPr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7E9F67F3" w14:textId="77777777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Science - Plants</w:t>
            </w:r>
          </w:p>
          <w:p w14:paraId="4463BF3A" w14:textId="38A2399C" w:rsidR="006A59BD" w:rsidRPr="006A59BD" w:rsidRDefault="006A59BD" w:rsidP="006A59BD">
            <w:pPr>
              <w:jc w:val="center"/>
              <w:rPr>
                <w:sz w:val="20"/>
                <w:szCs w:val="20"/>
              </w:rPr>
            </w:pPr>
            <w:r w:rsidRPr="006A59BD">
              <w:rPr>
                <w:sz w:val="20"/>
                <w:szCs w:val="20"/>
              </w:rPr>
              <w:t xml:space="preserve">We will be learning </w:t>
            </w:r>
            <w:r w:rsidR="00E07002">
              <w:rPr>
                <w:sz w:val="20"/>
                <w:szCs w:val="20"/>
              </w:rPr>
              <w:t xml:space="preserve">about the different features and functions of a plant including a plant’s life cycle throughout the term. We will be doing various investigations to explore the children’s understanding.  </w:t>
            </w:r>
            <w:r w:rsidRPr="006A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41ABE7EA" w14:textId="653718A9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PE </w:t>
            </w:r>
            <w:r w:rsidR="00916144">
              <w:rPr>
                <w:b/>
                <w:color w:val="00B050"/>
                <w:sz w:val="44"/>
                <w:szCs w:val="44"/>
              </w:rPr>
              <w:t>–</w:t>
            </w:r>
            <w:r w:rsidR="00E07002">
              <w:rPr>
                <w:b/>
                <w:color w:val="00B050"/>
                <w:sz w:val="44"/>
                <w:szCs w:val="44"/>
              </w:rPr>
              <w:t xml:space="preserve"> Handball, Cricket and Rounders</w:t>
            </w:r>
          </w:p>
          <w:p w14:paraId="7AECDFA9" w14:textId="27DCD837" w:rsidR="00916144" w:rsidRDefault="00E07002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In indoor and outdoor </w:t>
            </w:r>
            <w:proofErr w:type="gramStart"/>
            <w:r>
              <w:rPr>
                <w:sz w:val="20"/>
                <w:szCs w:val="20"/>
              </w:rPr>
              <w:t>PE</w:t>
            </w:r>
            <w:proofErr w:type="gramEnd"/>
            <w:r>
              <w:rPr>
                <w:sz w:val="20"/>
                <w:szCs w:val="20"/>
              </w:rPr>
              <w:t xml:space="preserve"> we will be practising our throwing and catching skills developing accuracy and be able to work as individuals and as teams in our defending skills. </w:t>
            </w:r>
          </w:p>
        </w:tc>
      </w:tr>
      <w:tr w:rsidR="006A59BD" w14:paraId="1ED2E9F9" w14:textId="77777777" w:rsidTr="00E50E42">
        <w:trPr>
          <w:trHeight w:val="2238"/>
        </w:trPr>
        <w:tc>
          <w:tcPr>
            <w:tcW w:w="5129" w:type="dxa"/>
          </w:tcPr>
          <w:p w14:paraId="6B98D901" w14:textId="62CEFE22" w:rsidR="00916144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Reading</w:t>
            </w:r>
          </w:p>
          <w:p w14:paraId="61C9DB58" w14:textId="589B1270" w:rsidR="006A59BD" w:rsidRDefault="006A59BD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 </w:t>
            </w:r>
            <w:r w:rsidR="0044253E">
              <w:rPr>
                <w:sz w:val="20"/>
                <w:szCs w:val="20"/>
              </w:rPr>
              <w:t xml:space="preserve">Continuing our learning of the reading VIPERS, we will be </w:t>
            </w:r>
            <w:r w:rsidR="00C80D52">
              <w:rPr>
                <w:sz w:val="20"/>
                <w:szCs w:val="20"/>
              </w:rPr>
              <w:t xml:space="preserve">applying these skills when </w:t>
            </w:r>
            <w:r w:rsidR="009A47F5">
              <w:rPr>
                <w:sz w:val="20"/>
                <w:szCs w:val="20"/>
              </w:rPr>
              <w:t>reading The</w:t>
            </w:r>
            <w:r w:rsidR="003C6CA9">
              <w:rPr>
                <w:sz w:val="20"/>
                <w:szCs w:val="20"/>
              </w:rPr>
              <w:t xml:space="preserve"> Diary of a Killer Cat by Anne Fine</w:t>
            </w:r>
            <w:r w:rsidR="0044253E">
              <w:rPr>
                <w:sz w:val="20"/>
                <w:szCs w:val="20"/>
              </w:rPr>
              <w:t xml:space="preserve"> and The Secret of Black Rock</w:t>
            </w:r>
            <w:r w:rsidR="00C80D52">
              <w:rPr>
                <w:sz w:val="20"/>
                <w:szCs w:val="20"/>
              </w:rPr>
              <w:t xml:space="preserve">. </w:t>
            </w:r>
            <w:r w:rsidR="00A26C9C">
              <w:rPr>
                <w:sz w:val="20"/>
                <w:szCs w:val="20"/>
              </w:rPr>
              <w:t>We will also be looking</w:t>
            </w:r>
            <w:r w:rsidR="009A47F5">
              <w:rPr>
                <w:sz w:val="20"/>
                <w:szCs w:val="20"/>
              </w:rPr>
              <w:t xml:space="preserve"> at </w:t>
            </w:r>
            <w:r w:rsidR="003C6CA9">
              <w:rPr>
                <w:sz w:val="20"/>
                <w:szCs w:val="20"/>
              </w:rPr>
              <w:t xml:space="preserve">playscripts and </w:t>
            </w:r>
            <w:r w:rsidR="009A47F5">
              <w:rPr>
                <w:sz w:val="20"/>
                <w:szCs w:val="20"/>
              </w:rPr>
              <w:t xml:space="preserve">non-fiction texts with a key focus of contents pages. </w:t>
            </w:r>
          </w:p>
        </w:tc>
        <w:tc>
          <w:tcPr>
            <w:tcW w:w="5129" w:type="dxa"/>
          </w:tcPr>
          <w:p w14:paraId="17F0B309" w14:textId="6DA69D30" w:rsidR="006A59BD" w:rsidRPr="00105EE3" w:rsidRDefault="006A59BD" w:rsidP="006A59BD">
            <w:pPr>
              <w:spacing w:before="120" w:after="120"/>
              <w:jc w:val="center"/>
              <w:rPr>
                <w:b/>
                <w:i/>
                <w:sz w:val="48"/>
                <w:szCs w:val="48"/>
              </w:rPr>
            </w:pPr>
            <w:r w:rsidRPr="00105EE3">
              <w:rPr>
                <w:b/>
                <w:i/>
                <w:sz w:val="48"/>
                <w:szCs w:val="48"/>
              </w:rPr>
              <w:t xml:space="preserve">Year </w:t>
            </w:r>
            <w:r w:rsidR="00237344">
              <w:rPr>
                <w:b/>
                <w:i/>
                <w:sz w:val="48"/>
                <w:szCs w:val="48"/>
              </w:rPr>
              <w:t>3</w:t>
            </w:r>
          </w:p>
          <w:p w14:paraId="0811219C" w14:textId="28A57529" w:rsidR="006A59BD" w:rsidRPr="00105EE3" w:rsidRDefault="00E07002" w:rsidP="006A59BD">
            <w:pPr>
              <w:spacing w:before="120" w:after="120"/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Beech</w:t>
            </w:r>
            <w:r w:rsidR="006A59BD" w:rsidRPr="00105EE3">
              <w:rPr>
                <w:b/>
                <w:i/>
                <w:sz w:val="48"/>
                <w:szCs w:val="48"/>
              </w:rPr>
              <w:t xml:space="preserve"> – M</w:t>
            </w:r>
            <w:r w:rsidR="005240BB">
              <w:rPr>
                <w:b/>
                <w:i/>
                <w:sz w:val="48"/>
                <w:szCs w:val="48"/>
              </w:rPr>
              <w:t>r Goff</w:t>
            </w:r>
          </w:p>
          <w:p w14:paraId="14432023" w14:textId="7084210D" w:rsidR="006A59BD" w:rsidRDefault="00E07002" w:rsidP="006A59BD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i/>
                <w:sz w:val="48"/>
                <w:szCs w:val="48"/>
              </w:rPr>
              <w:t>Elm</w:t>
            </w:r>
            <w:r w:rsidR="006A59BD" w:rsidRPr="00105EE3">
              <w:rPr>
                <w:b/>
                <w:i/>
                <w:sz w:val="48"/>
                <w:szCs w:val="48"/>
              </w:rPr>
              <w:t xml:space="preserve"> – </w:t>
            </w:r>
            <w:r w:rsidR="00C52132">
              <w:rPr>
                <w:b/>
                <w:i/>
                <w:sz w:val="48"/>
                <w:szCs w:val="48"/>
              </w:rPr>
              <w:t>Miss Porch</w:t>
            </w:r>
          </w:p>
        </w:tc>
        <w:tc>
          <w:tcPr>
            <w:tcW w:w="5130" w:type="dxa"/>
          </w:tcPr>
          <w:p w14:paraId="04CD7BEA" w14:textId="6D3A61B5" w:rsidR="003C6CA9" w:rsidRDefault="006A59BD" w:rsidP="003C6CA9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Writing</w:t>
            </w:r>
          </w:p>
          <w:p w14:paraId="7282CBD7" w14:textId="7AAC7247" w:rsidR="00916144" w:rsidRDefault="00283B92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="00A00DF6">
              <w:rPr>
                <w:sz w:val="20"/>
                <w:szCs w:val="20"/>
              </w:rPr>
              <w:t xml:space="preserve">be writing short stories linked to The Secret of Black Rock </w:t>
            </w:r>
            <w:r w:rsidR="004B5F80">
              <w:rPr>
                <w:sz w:val="20"/>
                <w:szCs w:val="20"/>
              </w:rPr>
              <w:t>and then moving onto writing fact files based on t</w:t>
            </w:r>
            <w:r w:rsidR="00D125EB">
              <w:rPr>
                <w:sz w:val="20"/>
                <w:szCs w:val="20"/>
              </w:rPr>
              <w:t xml:space="preserve">he creatures from the story. We will be </w:t>
            </w:r>
            <w:r w:rsidR="003C6CA9">
              <w:rPr>
                <w:sz w:val="20"/>
                <w:szCs w:val="20"/>
              </w:rPr>
              <w:t xml:space="preserve">finishing the term writing our own poetic raps. </w:t>
            </w:r>
          </w:p>
        </w:tc>
      </w:tr>
      <w:tr w:rsidR="006A59BD" w14:paraId="70CB2F82" w14:textId="77777777" w:rsidTr="00E50E42">
        <w:trPr>
          <w:trHeight w:val="2238"/>
        </w:trPr>
        <w:tc>
          <w:tcPr>
            <w:tcW w:w="5129" w:type="dxa"/>
          </w:tcPr>
          <w:p w14:paraId="1C66BA78" w14:textId="2807BB3D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Music </w:t>
            </w:r>
            <w:r w:rsidR="00916144">
              <w:rPr>
                <w:b/>
                <w:color w:val="00B050"/>
                <w:sz w:val="44"/>
                <w:szCs w:val="44"/>
              </w:rPr>
              <w:t>–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  <w:r w:rsidR="003C6CA9">
              <w:rPr>
                <w:b/>
                <w:color w:val="00B050"/>
                <w:sz w:val="44"/>
                <w:szCs w:val="44"/>
              </w:rPr>
              <w:t>Bringing Us Together</w:t>
            </w:r>
          </w:p>
          <w:p w14:paraId="2C0C4C3C" w14:textId="2F840773" w:rsidR="00916144" w:rsidRDefault="00916144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</w:t>
            </w:r>
            <w:r w:rsidR="003C6CA9">
              <w:rPr>
                <w:sz w:val="20"/>
                <w:szCs w:val="20"/>
              </w:rPr>
              <w:t xml:space="preserve">l be composing our own simple melodies using one, three or five different notes. We will make musical decisions about pulse, rhythm, pitch, dynamics and tempo. </w:t>
            </w:r>
          </w:p>
        </w:tc>
        <w:tc>
          <w:tcPr>
            <w:tcW w:w="5129" w:type="dxa"/>
          </w:tcPr>
          <w:p w14:paraId="6ED56DF0" w14:textId="34AD99CA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Maths</w:t>
            </w:r>
          </w:p>
          <w:p w14:paraId="0CE78FB8" w14:textId="5A8A5665" w:rsidR="00916144" w:rsidRDefault="00C52132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At the start of the term, we shall continue </w:t>
            </w:r>
            <w:r w:rsidR="00B12356">
              <w:rPr>
                <w:sz w:val="20"/>
                <w:szCs w:val="20"/>
              </w:rPr>
              <w:t xml:space="preserve">with exploring Mass and Capacity. </w:t>
            </w:r>
            <w:r w:rsidR="00916144" w:rsidRPr="006A59BD">
              <w:rPr>
                <w:sz w:val="20"/>
                <w:szCs w:val="20"/>
              </w:rPr>
              <w:t>We wil</w:t>
            </w:r>
            <w:r w:rsidR="003C6CA9">
              <w:rPr>
                <w:sz w:val="20"/>
                <w:szCs w:val="20"/>
              </w:rPr>
              <w:t>l</w:t>
            </w:r>
            <w:r w:rsidR="00B12356">
              <w:rPr>
                <w:sz w:val="20"/>
                <w:szCs w:val="20"/>
              </w:rPr>
              <w:t xml:space="preserve"> then</w:t>
            </w:r>
            <w:r w:rsidR="003C6CA9">
              <w:rPr>
                <w:sz w:val="20"/>
                <w:szCs w:val="20"/>
              </w:rPr>
              <w:t xml:space="preserve"> be revisiting our understanding of fractions and moving onto adding and subtracting them, partitioning a whole and looking at unit and non-unit fractions of a set number of objects. We then finish the term looking at money and then starting time.  </w:t>
            </w:r>
          </w:p>
        </w:tc>
        <w:tc>
          <w:tcPr>
            <w:tcW w:w="5130" w:type="dxa"/>
          </w:tcPr>
          <w:p w14:paraId="2A813F51" w14:textId="45B0517E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PSHE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  <w:r w:rsidR="001213EE">
              <w:rPr>
                <w:b/>
                <w:color w:val="00B050"/>
                <w:sz w:val="44"/>
                <w:szCs w:val="44"/>
              </w:rPr>
              <w:t>–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  <w:r w:rsidR="001213EE">
              <w:rPr>
                <w:b/>
                <w:color w:val="00B050"/>
                <w:sz w:val="44"/>
                <w:szCs w:val="44"/>
              </w:rPr>
              <w:t>Healthy lifestyles</w:t>
            </w:r>
          </w:p>
          <w:p w14:paraId="3B66C61E" w14:textId="7829C13E" w:rsidR="006A59BD" w:rsidRDefault="00E50E42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will</w:t>
            </w:r>
            <w:r w:rsidR="001213EE">
              <w:rPr>
                <w:sz w:val="20"/>
                <w:szCs w:val="20"/>
              </w:rPr>
              <w:t xml:space="preserve"> be exploring how we can keep our bodies healthy, focusing on healthy eating, mental wellbeing and exercise, and body hygiene.</w:t>
            </w:r>
          </w:p>
        </w:tc>
      </w:tr>
      <w:tr w:rsidR="006A59BD" w14:paraId="5BCB53D4" w14:textId="77777777" w:rsidTr="00E50E42">
        <w:trPr>
          <w:trHeight w:val="2238"/>
        </w:trPr>
        <w:tc>
          <w:tcPr>
            <w:tcW w:w="5129" w:type="dxa"/>
          </w:tcPr>
          <w:p w14:paraId="3DEA7A6C" w14:textId="7AF92D45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44"/>
                <w:szCs w:val="44"/>
              </w:rPr>
              <w:t>Spanish</w:t>
            </w:r>
          </w:p>
          <w:p w14:paraId="67676629" w14:textId="37972D63" w:rsidR="00916144" w:rsidRDefault="00916144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</w:t>
            </w:r>
            <w:r w:rsidR="001213EE">
              <w:rPr>
                <w:sz w:val="20"/>
                <w:szCs w:val="20"/>
              </w:rPr>
              <w:t xml:space="preserve">l be learning about vocabulary associated with </w:t>
            </w:r>
            <w:r w:rsidR="0017155C">
              <w:rPr>
                <w:sz w:val="20"/>
                <w:szCs w:val="20"/>
              </w:rPr>
              <w:t>different f</w:t>
            </w:r>
            <w:r w:rsidR="00F91DC4">
              <w:rPr>
                <w:sz w:val="20"/>
                <w:szCs w:val="20"/>
              </w:rPr>
              <w:t>oods</w:t>
            </w:r>
            <w:r w:rsidR="0017155C">
              <w:rPr>
                <w:sz w:val="20"/>
                <w:szCs w:val="20"/>
              </w:rPr>
              <w:t xml:space="preserve">. </w:t>
            </w:r>
            <w:r w:rsidR="0092184F">
              <w:rPr>
                <w:sz w:val="20"/>
                <w:szCs w:val="20"/>
              </w:rPr>
              <w:t xml:space="preserve">We will </w:t>
            </w:r>
            <w:r w:rsidR="00F91DC4">
              <w:rPr>
                <w:sz w:val="20"/>
                <w:szCs w:val="20"/>
              </w:rPr>
              <w:t xml:space="preserve">be looking at fruits, vegetables and ice creams. We will also learn to say </w:t>
            </w:r>
            <w:proofErr w:type="gramStart"/>
            <w:r w:rsidR="00F91DC4">
              <w:rPr>
                <w:sz w:val="20"/>
                <w:szCs w:val="20"/>
              </w:rPr>
              <w:t>‘ I</w:t>
            </w:r>
            <w:proofErr w:type="gramEnd"/>
            <w:r w:rsidR="00F91DC4">
              <w:rPr>
                <w:sz w:val="20"/>
                <w:szCs w:val="20"/>
              </w:rPr>
              <w:t xml:space="preserve"> would like …’ </w:t>
            </w:r>
          </w:p>
        </w:tc>
        <w:tc>
          <w:tcPr>
            <w:tcW w:w="5129" w:type="dxa"/>
          </w:tcPr>
          <w:p w14:paraId="04C72670" w14:textId="5995C47C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E50E42">
              <w:rPr>
                <w:b/>
                <w:color w:val="00B050"/>
                <w:sz w:val="40"/>
                <w:szCs w:val="40"/>
              </w:rPr>
              <w:t>Computing</w:t>
            </w:r>
            <w:r w:rsidR="00E50E42" w:rsidRPr="00E50E42">
              <w:rPr>
                <w:b/>
                <w:color w:val="00B050"/>
                <w:sz w:val="40"/>
                <w:szCs w:val="40"/>
              </w:rPr>
              <w:t xml:space="preserve"> – </w:t>
            </w:r>
            <w:r w:rsidR="001213EE">
              <w:rPr>
                <w:b/>
                <w:color w:val="00B050"/>
                <w:sz w:val="40"/>
                <w:szCs w:val="40"/>
              </w:rPr>
              <w:t xml:space="preserve">Desktop Publishing </w:t>
            </w:r>
          </w:p>
          <w:p w14:paraId="671A4D9C" w14:textId="4273B82E" w:rsidR="00E50E42" w:rsidRPr="00E50E42" w:rsidRDefault="00E50E42" w:rsidP="006A59B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6A59BD">
              <w:rPr>
                <w:sz w:val="20"/>
                <w:szCs w:val="20"/>
              </w:rPr>
              <w:t>We will</w:t>
            </w:r>
            <w:r>
              <w:rPr>
                <w:sz w:val="20"/>
                <w:szCs w:val="20"/>
              </w:rPr>
              <w:t xml:space="preserve"> be</w:t>
            </w:r>
            <w:r w:rsidR="001213EE">
              <w:rPr>
                <w:sz w:val="20"/>
                <w:szCs w:val="20"/>
              </w:rPr>
              <w:t xml:space="preserve"> using Microsoft </w:t>
            </w:r>
            <w:proofErr w:type="gramStart"/>
            <w:r w:rsidR="001213EE">
              <w:rPr>
                <w:sz w:val="20"/>
                <w:szCs w:val="20"/>
              </w:rPr>
              <w:t>Publisher,</w:t>
            </w:r>
            <w:proofErr w:type="gramEnd"/>
            <w:r w:rsidR="001213EE">
              <w:rPr>
                <w:sz w:val="20"/>
                <w:szCs w:val="20"/>
              </w:rPr>
              <w:t xml:space="preserve"> we will explore how to add and edit text and images and evaluate the benefits of desktop publishing.  </w:t>
            </w:r>
          </w:p>
        </w:tc>
        <w:tc>
          <w:tcPr>
            <w:tcW w:w="5130" w:type="dxa"/>
          </w:tcPr>
          <w:p w14:paraId="772038FA" w14:textId="1BC157C0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Geography</w:t>
            </w:r>
            <w:r w:rsidR="001C7681">
              <w:rPr>
                <w:b/>
                <w:color w:val="00B050"/>
                <w:sz w:val="44"/>
                <w:szCs w:val="44"/>
              </w:rPr>
              <w:t>- Europe</w:t>
            </w:r>
          </w:p>
          <w:p w14:paraId="2A36D0D3" w14:textId="1238E5D7" w:rsidR="00916144" w:rsidRDefault="00916144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</w:t>
            </w:r>
            <w:r w:rsidR="001213EE">
              <w:rPr>
                <w:sz w:val="20"/>
                <w:szCs w:val="20"/>
              </w:rPr>
              <w:t xml:space="preserve">l be looking at the continent of Europe, focusing on key countries and capital cities, finishing with a </w:t>
            </w:r>
            <w:r w:rsidR="001C7681">
              <w:rPr>
                <w:sz w:val="20"/>
                <w:szCs w:val="20"/>
              </w:rPr>
              <w:t>comparison</w:t>
            </w:r>
            <w:r w:rsidR="001213EE">
              <w:rPr>
                <w:sz w:val="20"/>
                <w:szCs w:val="20"/>
              </w:rPr>
              <w:t xml:space="preserve"> of two European capital cities. </w:t>
            </w:r>
          </w:p>
          <w:p w14:paraId="13F5E7D3" w14:textId="77777777" w:rsidR="006A59BD" w:rsidRPr="006A59BD" w:rsidRDefault="006A59BD" w:rsidP="006A59BD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25BE57A" w14:textId="77777777" w:rsidR="006A59BD" w:rsidRPr="00916144" w:rsidRDefault="006A59BD" w:rsidP="006A59BD">
      <w:pPr>
        <w:spacing w:after="0"/>
        <w:jc w:val="center"/>
        <w:rPr>
          <w:b/>
          <w:color w:val="00B050"/>
          <w:sz w:val="16"/>
          <w:szCs w:val="16"/>
        </w:rPr>
      </w:pPr>
    </w:p>
    <w:sectPr w:rsidR="006A59BD" w:rsidRPr="00916144" w:rsidSect="00F4035F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D"/>
    <w:rsid w:val="000051A8"/>
    <w:rsid w:val="00045971"/>
    <w:rsid w:val="00105EE3"/>
    <w:rsid w:val="001159B1"/>
    <w:rsid w:val="001213EE"/>
    <w:rsid w:val="00167361"/>
    <w:rsid w:val="0017155C"/>
    <w:rsid w:val="001C7681"/>
    <w:rsid w:val="00204E0A"/>
    <w:rsid w:val="00212244"/>
    <w:rsid w:val="00237344"/>
    <w:rsid w:val="00283B92"/>
    <w:rsid w:val="00290005"/>
    <w:rsid w:val="002C32C7"/>
    <w:rsid w:val="0037693B"/>
    <w:rsid w:val="003C6CA9"/>
    <w:rsid w:val="003D0E2A"/>
    <w:rsid w:val="003F53AB"/>
    <w:rsid w:val="0042524A"/>
    <w:rsid w:val="0044253E"/>
    <w:rsid w:val="0049373F"/>
    <w:rsid w:val="004B5F80"/>
    <w:rsid w:val="004E0703"/>
    <w:rsid w:val="005240BB"/>
    <w:rsid w:val="00580F44"/>
    <w:rsid w:val="005F19B1"/>
    <w:rsid w:val="006A249E"/>
    <w:rsid w:val="006A59BD"/>
    <w:rsid w:val="006B3352"/>
    <w:rsid w:val="006F56B3"/>
    <w:rsid w:val="007062AF"/>
    <w:rsid w:val="007455A3"/>
    <w:rsid w:val="00760A79"/>
    <w:rsid w:val="007A65F5"/>
    <w:rsid w:val="00817B98"/>
    <w:rsid w:val="0083068B"/>
    <w:rsid w:val="008739C2"/>
    <w:rsid w:val="009005F2"/>
    <w:rsid w:val="00916144"/>
    <w:rsid w:val="0092184F"/>
    <w:rsid w:val="009A47F5"/>
    <w:rsid w:val="009B11E5"/>
    <w:rsid w:val="009C4328"/>
    <w:rsid w:val="009F04A1"/>
    <w:rsid w:val="00A00DF6"/>
    <w:rsid w:val="00A26C9C"/>
    <w:rsid w:val="00AB7722"/>
    <w:rsid w:val="00AD7822"/>
    <w:rsid w:val="00B12356"/>
    <w:rsid w:val="00B6775E"/>
    <w:rsid w:val="00BF3F75"/>
    <w:rsid w:val="00C15961"/>
    <w:rsid w:val="00C52132"/>
    <w:rsid w:val="00C80D52"/>
    <w:rsid w:val="00CB4C31"/>
    <w:rsid w:val="00CF60C6"/>
    <w:rsid w:val="00D125EB"/>
    <w:rsid w:val="00D50066"/>
    <w:rsid w:val="00E07002"/>
    <w:rsid w:val="00E50E42"/>
    <w:rsid w:val="00F4035F"/>
    <w:rsid w:val="00F91DC4"/>
    <w:rsid w:val="00FA4F4A"/>
    <w:rsid w:val="00FE0CFC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F935"/>
  <w15:chartTrackingRefBased/>
  <w15:docId w15:val="{A1788781-76CB-4153-8498-7FB0CAC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8" ma:contentTypeDescription="Create a new document." ma:contentTypeScope="" ma:versionID="f26193b5c8766c9c637c2cab36268d3e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d11cbb60e5ae2f559ce19edb58fe805f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77E3D-22FB-4202-83EE-33933A508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CFBCC-6E32-446E-9DCF-43177E9EABB8}">
  <ds:schemaRefs>
    <ds:schemaRef ds:uri="http://www.w3.org/XML/1998/namespace"/>
    <ds:schemaRef ds:uri="http://purl.org/dc/elements/1.1/"/>
    <ds:schemaRef ds:uri="32a73472-26bd-48de-b295-83ece77a8e4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b26c7295-ff56-41f5-9258-35713e2640c5"/>
  </ds:schemaRefs>
</ds:datastoreItem>
</file>

<file path=customXml/itemProps3.xml><?xml version="1.0" encoding="utf-8"?>
<ds:datastoreItem xmlns:ds="http://schemas.openxmlformats.org/officeDocument/2006/customXml" ds:itemID="{4CD7EC1E-6465-44BD-9FFB-45C9D5D90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Brockington</dc:creator>
  <cp:keywords/>
  <dc:description/>
  <cp:lastModifiedBy>Karen Roberts</cp:lastModifiedBy>
  <cp:revision>42</cp:revision>
  <dcterms:created xsi:type="dcterms:W3CDTF">2023-04-19T23:00:00Z</dcterms:created>
  <dcterms:modified xsi:type="dcterms:W3CDTF">2025-04-22T14:37:00Z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